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5841" w14:textId="77777777" w:rsidR="002E429F" w:rsidRPr="007F4FCF" w:rsidRDefault="002E429F" w:rsidP="00F876AC">
      <w:pPr>
        <w:rPr>
          <w:rFonts w:ascii="Arial" w:hAnsi="Arial" w:cs="Arial"/>
          <w:sz w:val="18"/>
          <w:szCs w:val="18"/>
        </w:rPr>
      </w:pPr>
    </w:p>
    <w:p w14:paraId="770974ED" w14:textId="77777777" w:rsidR="007F4FCF" w:rsidRPr="0046613C" w:rsidRDefault="007C3344" w:rsidP="00F876AC">
      <w:pPr>
        <w:rPr>
          <w:rFonts w:ascii="Arial" w:hAnsi="Arial" w:cs="Arial"/>
        </w:rPr>
      </w:pPr>
      <w:r w:rsidRPr="0046613C">
        <w:rPr>
          <w:rFonts w:ascii="Arial" w:hAnsi="Arial" w:cs="Arial"/>
        </w:rPr>
        <w:t xml:space="preserve">DLW </w:t>
      </w:r>
      <w:r w:rsidR="00F71AEA">
        <w:rPr>
          <w:rFonts w:ascii="Arial" w:hAnsi="Arial" w:cs="Arial"/>
        </w:rPr>
        <w:t xml:space="preserve">Lino Art </w:t>
      </w:r>
      <w:r w:rsidR="00060810">
        <w:rPr>
          <w:rFonts w:ascii="Arial" w:hAnsi="Arial" w:cs="Arial"/>
        </w:rPr>
        <w:t>Urban</w:t>
      </w:r>
      <w:r w:rsidR="009B2403" w:rsidRPr="0046613C">
        <w:rPr>
          <w:rFonts w:ascii="Arial" w:hAnsi="Arial" w:cs="Arial"/>
        </w:rPr>
        <w:t xml:space="preserve"> </w:t>
      </w:r>
    </w:p>
    <w:p w14:paraId="40D79498" w14:textId="77777777" w:rsidR="006060BF" w:rsidRPr="007F4FCF" w:rsidRDefault="006060BF" w:rsidP="00F876AC">
      <w:pPr>
        <w:rPr>
          <w:rFonts w:ascii="Arial" w:hAnsi="Arial" w:cs="Arial"/>
          <w:sz w:val="18"/>
          <w:szCs w:val="18"/>
        </w:rPr>
      </w:pPr>
    </w:p>
    <w:p w14:paraId="296C65A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3E84C116" w14:textId="77777777" w:rsidR="00485F74" w:rsidRPr="007F4FCF" w:rsidRDefault="00485F74" w:rsidP="00485F74">
      <w:pPr>
        <w:rPr>
          <w:rFonts w:ascii="Arial" w:hAnsi="Arial" w:cs="Arial"/>
          <w:sz w:val="18"/>
          <w:szCs w:val="18"/>
        </w:rPr>
      </w:pPr>
    </w:p>
    <w:p w14:paraId="05F047C8"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6DFE6E83"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54E293E5" w14:textId="77777777" w:rsidR="0029139E" w:rsidRPr="007F4FCF" w:rsidRDefault="0029139E" w:rsidP="0029139E">
      <w:pPr>
        <w:rPr>
          <w:rFonts w:ascii="Arial" w:hAnsi="Arial" w:cs="Arial"/>
          <w:sz w:val="18"/>
          <w:szCs w:val="18"/>
          <w:lang w:val="en-GB"/>
        </w:rPr>
      </w:pPr>
    </w:p>
    <w:p w14:paraId="13509F39"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16F8F7D2" w14:textId="77777777" w:rsidR="00F16A3D" w:rsidRPr="007F4FCF" w:rsidRDefault="00F16A3D" w:rsidP="0029139E">
      <w:pPr>
        <w:rPr>
          <w:rFonts w:ascii="Arial" w:hAnsi="Arial" w:cs="Arial"/>
          <w:b/>
          <w:sz w:val="18"/>
          <w:szCs w:val="18"/>
        </w:rPr>
      </w:pPr>
    </w:p>
    <w:p w14:paraId="6847E9E9"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29E57972"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6370D02C" w14:textId="77777777" w:rsidR="00F16A3D" w:rsidRPr="007F4FCF" w:rsidRDefault="00F16A3D" w:rsidP="0029139E">
      <w:pPr>
        <w:rPr>
          <w:rFonts w:ascii="Arial" w:hAnsi="Arial" w:cs="Arial"/>
          <w:sz w:val="18"/>
          <w:szCs w:val="18"/>
        </w:rPr>
      </w:pPr>
    </w:p>
    <w:p w14:paraId="79EF05F1"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61C3E636" w14:textId="77777777" w:rsidR="0029139E" w:rsidRPr="007F4FCF" w:rsidRDefault="0029139E" w:rsidP="0029139E">
      <w:pPr>
        <w:rPr>
          <w:rFonts w:ascii="Arial" w:hAnsi="Arial" w:cs="Arial"/>
          <w:sz w:val="18"/>
          <w:szCs w:val="18"/>
        </w:rPr>
      </w:pPr>
    </w:p>
    <w:p w14:paraId="3363829B"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0B9637BF" w14:textId="77777777" w:rsidR="0029139E" w:rsidRPr="007F4FCF" w:rsidRDefault="0029139E" w:rsidP="0029139E">
      <w:pPr>
        <w:rPr>
          <w:rFonts w:ascii="Arial" w:hAnsi="Arial" w:cs="Arial"/>
          <w:sz w:val="18"/>
          <w:szCs w:val="18"/>
        </w:rPr>
      </w:pPr>
    </w:p>
    <w:p w14:paraId="1CE56026"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26A64967" w14:textId="77777777" w:rsidR="0029139E" w:rsidRPr="007F4FCF" w:rsidRDefault="0029139E" w:rsidP="0029139E">
      <w:pPr>
        <w:rPr>
          <w:rFonts w:ascii="Arial" w:hAnsi="Arial" w:cs="Arial"/>
          <w:sz w:val="18"/>
          <w:szCs w:val="18"/>
        </w:rPr>
      </w:pPr>
    </w:p>
    <w:p w14:paraId="545AC5B7"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395FDA64" w14:textId="77777777" w:rsidR="00485F74" w:rsidRPr="007F4FCF" w:rsidRDefault="00485F74" w:rsidP="00485F74">
      <w:pPr>
        <w:rPr>
          <w:rFonts w:ascii="Arial" w:hAnsi="Arial" w:cs="Arial"/>
          <w:sz w:val="18"/>
          <w:szCs w:val="18"/>
        </w:rPr>
      </w:pPr>
    </w:p>
    <w:p w14:paraId="2D4A1129" w14:textId="61C3ED15"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7E7025">
        <w:rPr>
          <w:rFonts w:ascii="Arial" w:hAnsi="Arial" w:cs="Arial"/>
          <w:sz w:val="18"/>
          <w:szCs w:val="18"/>
        </w:rPr>
        <w:t xml:space="preserve"> </w:t>
      </w:r>
      <w:r w:rsidR="007E7025" w:rsidRPr="00B9100D">
        <w:rPr>
          <w:rFonts w:ascii="Arial" w:hAnsi="Arial" w:cs="Arial"/>
          <w:sz w:val="18"/>
          <w:szCs w:val="18"/>
        </w:rPr>
        <w:t>antistatisch, Aufladungsspannung im Begehversuch DIN EN 1815 max. 2 kV,</w:t>
      </w:r>
      <w:r w:rsidRPr="007F4FCF">
        <w:rPr>
          <w:rFonts w:ascii="Arial" w:hAnsi="Arial" w:cs="Arial"/>
          <w:sz w:val="18"/>
          <w:szCs w:val="18"/>
        </w:rPr>
        <w:tab/>
      </w:r>
    </w:p>
    <w:p w14:paraId="0D811BC7" w14:textId="77777777" w:rsidR="00485F74" w:rsidRPr="007F4FCF" w:rsidRDefault="00485F74" w:rsidP="00485F74">
      <w:pPr>
        <w:rPr>
          <w:rFonts w:ascii="Arial" w:hAnsi="Arial" w:cs="Arial"/>
          <w:sz w:val="18"/>
          <w:szCs w:val="18"/>
        </w:rPr>
      </w:pPr>
    </w:p>
    <w:p w14:paraId="2D13588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5A3794C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1533B16"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110E759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2C1D6FA" w14:textId="33FFE241"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7A97A16A" w14:textId="26185C7D" w:rsidR="00931496" w:rsidRDefault="00931496" w:rsidP="00485F74">
      <w:pPr>
        <w:rPr>
          <w:rFonts w:ascii="Arial" w:hAnsi="Arial" w:cs="Arial"/>
          <w:sz w:val="18"/>
          <w:szCs w:val="18"/>
        </w:rPr>
      </w:pPr>
    </w:p>
    <w:p w14:paraId="41746203" w14:textId="77777777" w:rsidR="00931496" w:rsidRDefault="00931496" w:rsidP="00931496">
      <w:pPr>
        <w:rPr>
          <w:rFonts w:ascii="Arial" w:hAnsi="Arial" w:cs="Arial"/>
          <w:sz w:val="18"/>
          <w:szCs w:val="18"/>
        </w:rPr>
      </w:pPr>
      <w:r>
        <w:rPr>
          <w:rFonts w:ascii="Arial" w:hAnsi="Arial" w:cs="Arial"/>
          <w:sz w:val="18"/>
          <w:szCs w:val="18"/>
        </w:rPr>
        <w:t>im Brandfalle rauchgastoxikologisch unbedenklich,</w:t>
      </w:r>
    </w:p>
    <w:p w14:paraId="28E0F1DF" w14:textId="77777777" w:rsidR="00931496" w:rsidRDefault="00931496" w:rsidP="00931496">
      <w:pPr>
        <w:rPr>
          <w:rFonts w:ascii="Arial" w:hAnsi="Arial" w:cs="Arial"/>
          <w:sz w:val="18"/>
          <w:szCs w:val="18"/>
        </w:rPr>
      </w:pPr>
    </w:p>
    <w:p w14:paraId="58ABB740" w14:textId="77777777" w:rsidR="00931496" w:rsidRDefault="00931496" w:rsidP="00931496">
      <w:pPr>
        <w:rPr>
          <w:rFonts w:ascii="Arial" w:hAnsi="Arial" w:cs="Arial"/>
          <w:sz w:val="18"/>
          <w:szCs w:val="18"/>
        </w:rPr>
      </w:pPr>
      <w:r>
        <w:rPr>
          <w:rFonts w:ascii="Arial" w:hAnsi="Arial" w:cs="Arial"/>
          <w:sz w:val="18"/>
          <w:szCs w:val="18"/>
        </w:rPr>
        <w:t>sehr gute Widerstandsfähigkeit gegen Ausdrücken von Zigaretten gemäß EN 1399:1997-09 (Methode A), keine sichtbare Veränderung der Oberfläche</w:t>
      </w:r>
    </w:p>
    <w:p w14:paraId="11612CB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7FCE73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1C3EB2B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D3EAFAF" w14:textId="77777777" w:rsidR="00931496"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7F972FB3" w14:textId="77777777" w:rsidR="00931496" w:rsidRDefault="00931496" w:rsidP="00485F74">
      <w:pPr>
        <w:rPr>
          <w:rFonts w:ascii="Arial" w:hAnsi="Arial" w:cs="Arial"/>
          <w:sz w:val="18"/>
          <w:szCs w:val="18"/>
        </w:rPr>
      </w:pPr>
    </w:p>
    <w:p w14:paraId="030770F3" w14:textId="36B18F39" w:rsidR="008F316D" w:rsidRPr="00E47957" w:rsidRDefault="0029139E" w:rsidP="00485F74">
      <w:pPr>
        <w:rPr>
          <w:rFonts w:ascii="Arial" w:hAnsi="Arial" w:cs="Arial"/>
          <w:sz w:val="18"/>
          <w:szCs w:val="18"/>
        </w:rPr>
      </w:pPr>
      <w:r w:rsidRPr="007F4FCF">
        <w:rPr>
          <w:rFonts w:ascii="Arial" w:hAnsi="Arial" w:cs="Arial"/>
          <w:sz w:val="18"/>
          <w:szCs w:val="18"/>
        </w:rPr>
        <w:t>ISO 26987,</w:t>
      </w:r>
      <w:r w:rsidR="00931496">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4F84C4B0" w14:textId="77777777" w:rsidR="0029139E" w:rsidRPr="007F4FCF" w:rsidRDefault="0029139E" w:rsidP="00485F74">
      <w:pPr>
        <w:rPr>
          <w:rFonts w:ascii="Arial" w:hAnsi="Arial" w:cs="Arial"/>
          <w:sz w:val="18"/>
          <w:szCs w:val="18"/>
        </w:rPr>
      </w:pPr>
    </w:p>
    <w:p w14:paraId="6D45E0C3" w14:textId="77777777" w:rsidR="0064407D" w:rsidRDefault="0064407D" w:rsidP="0064407D">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2CCC9645" w14:textId="77777777" w:rsidR="0064407D" w:rsidRPr="007F4FCF" w:rsidRDefault="0064407D" w:rsidP="0064407D">
      <w:pPr>
        <w:rPr>
          <w:rFonts w:ascii="Arial" w:hAnsi="Arial" w:cs="Arial"/>
          <w:sz w:val="18"/>
          <w:szCs w:val="18"/>
        </w:rPr>
      </w:pPr>
    </w:p>
    <w:p w14:paraId="3FADB19A" w14:textId="77777777" w:rsidR="0064407D" w:rsidRPr="007F4FCF" w:rsidRDefault="0064407D" w:rsidP="0064407D">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3AF7982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7942133"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18CA7AFF" w14:textId="77777777" w:rsidR="0029139E" w:rsidRPr="007F4FCF" w:rsidRDefault="0029139E" w:rsidP="00485F74">
      <w:pPr>
        <w:rPr>
          <w:rFonts w:ascii="Arial" w:hAnsi="Arial" w:cs="Arial"/>
          <w:sz w:val="18"/>
          <w:szCs w:val="18"/>
        </w:rPr>
      </w:pPr>
    </w:p>
    <w:p w14:paraId="2ADD3778"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03A5BE3B"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087F836D"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1EE1A39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14DE47F"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3443B3A7" w14:textId="77777777" w:rsidR="00D37410" w:rsidRDefault="00D37410" w:rsidP="00485F74">
      <w:pPr>
        <w:rPr>
          <w:rFonts w:ascii="Arial" w:hAnsi="Arial" w:cs="Arial"/>
          <w:sz w:val="18"/>
          <w:szCs w:val="18"/>
        </w:rPr>
      </w:pPr>
    </w:p>
    <w:p w14:paraId="244FED81"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29572D8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07B6333" w14:textId="55AD3B9B"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F71AEA">
        <w:rPr>
          <w:rFonts w:ascii="Arial" w:hAnsi="Arial" w:cs="Arial"/>
          <w:sz w:val="18"/>
          <w:szCs w:val="18"/>
        </w:rPr>
        <w:t xml:space="preserve">Musterung Lino Art </w:t>
      </w:r>
      <w:r w:rsidR="009728D5">
        <w:rPr>
          <w:rFonts w:ascii="Arial" w:hAnsi="Arial" w:cs="Arial"/>
          <w:sz w:val="18"/>
          <w:szCs w:val="18"/>
        </w:rPr>
        <w:t>Urban</w:t>
      </w:r>
      <w:r w:rsidR="0064407D">
        <w:rPr>
          <w:rFonts w:ascii="Arial" w:hAnsi="Arial" w:cs="Arial"/>
          <w:sz w:val="18"/>
          <w:szCs w:val="18"/>
        </w:rPr>
        <w:t xml:space="preserve">, gewolkt in </w:t>
      </w:r>
      <w:r w:rsidR="009728D5">
        <w:rPr>
          <w:rFonts w:ascii="Arial" w:hAnsi="Arial" w:cs="Arial"/>
          <w:b/>
          <w:sz w:val="18"/>
          <w:szCs w:val="18"/>
        </w:rPr>
        <w:t>Beton-Effekt</w:t>
      </w:r>
      <w:r w:rsidR="0064407D">
        <w:rPr>
          <w:rFonts w:ascii="Arial" w:hAnsi="Arial" w:cs="Arial"/>
          <w:b/>
          <w:sz w:val="18"/>
          <w:szCs w:val="18"/>
        </w:rPr>
        <w:t xml:space="preserve"> (nicht marmoriert)</w:t>
      </w:r>
      <w:r w:rsidRPr="007F4FCF">
        <w:rPr>
          <w:rFonts w:ascii="Arial" w:hAnsi="Arial" w:cs="Arial"/>
          <w:sz w:val="18"/>
          <w:szCs w:val="18"/>
        </w:rPr>
        <w:tab/>
      </w:r>
    </w:p>
    <w:p w14:paraId="6899615C" w14:textId="77777777" w:rsidR="0029139E" w:rsidRPr="007F4FCF" w:rsidRDefault="0029139E" w:rsidP="00485F74">
      <w:pPr>
        <w:rPr>
          <w:rFonts w:ascii="Arial" w:hAnsi="Arial" w:cs="Arial"/>
          <w:sz w:val="18"/>
          <w:szCs w:val="18"/>
        </w:rPr>
      </w:pPr>
    </w:p>
    <w:p w14:paraId="5F38EB59"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25A9A8E0" w14:textId="77777777" w:rsidR="00614B2D" w:rsidRDefault="00614B2D" w:rsidP="00485F74">
      <w:pPr>
        <w:rPr>
          <w:rFonts w:ascii="Arial" w:hAnsi="Arial" w:cs="Arial"/>
          <w:sz w:val="18"/>
          <w:szCs w:val="18"/>
        </w:rPr>
      </w:pPr>
    </w:p>
    <w:p w14:paraId="78C0504B" w14:textId="710B5533"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A9660A">
        <w:rPr>
          <w:rFonts w:ascii="Arial" w:hAnsi="Arial" w:cs="Arial"/>
          <w:sz w:val="18"/>
          <w:szCs w:val="18"/>
        </w:rPr>
        <w:t>1</w:t>
      </w:r>
      <w:r w:rsidR="00D92DA6">
        <w:rPr>
          <w:rFonts w:ascii="Arial" w:hAnsi="Arial" w:cs="Arial"/>
          <w:sz w:val="18"/>
          <w:szCs w:val="18"/>
        </w:rPr>
        <w:t>8</w:t>
      </w:r>
      <w:r w:rsidRPr="00614B2D">
        <w:rPr>
          <w:rFonts w:ascii="Arial" w:hAnsi="Arial" w:cs="Arial"/>
          <w:sz w:val="18"/>
          <w:szCs w:val="18"/>
        </w:rPr>
        <w:t xml:space="preserve"> Standardfarben.</w:t>
      </w:r>
    </w:p>
    <w:p w14:paraId="2A408DDA" w14:textId="098EB1C0" w:rsidR="00931496" w:rsidRDefault="00931496" w:rsidP="00485F74">
      <w:pPr>
        <w:rPr>
          <w:rFonts w:ascii="Arial" w:hAnsi="Arial" w:cs="Arial"/>
          <w:sz w:val="18"/>
          <w:szCs w:val="18"/>
        </w:rPr>
      </w:pPr>
    </w:p>
    <w:p w14:paraId="09CF90E0" w14:textId="77777777" w:rsidR="00931496" w:rsidRPr="007F4FCF" w:rsidRDefault="00931496" w:rsidP="00931496">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04D552E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6DADD03"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155D7530" w14:textId="77777777" w:rsidR="002E429F" w:rsidRPr="007F4FCF" w:rsidRDefault="002E429F" w:rsidP="002E429F">
      <w:pPr>
        <w:rPr>
          <w:rFonts w:ascii="Arial" w:hAnsi="Arial" w:cs="Arial"/>
          <w:sz w:val="18"/>
          <w:szCs w:val="18"/>
        </w:rPr>
      </w:pPr>
    </w:p>
    <w:p w14:paraId="3D6575A6"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785F3885"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780830A3"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6D3ED3D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1E51342D"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C4B52D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F71AEA">
        <w:rPr>
          <w:rFonts w:ascii="Arial" w:hAnsi="Arial" w:cs="Arial"/>
          <w:b/>
          <w:sz w:val="18"/>
          <w:szCs w:val="18"/>
        </w:rPr>
        <w:t xml:space="preserve">Lino Art </w:t>
      </w:r>
      <w:r w:rsidR="009728D5">
        <w:rPr>
          <w:rFonts w:ascii="Arial" w:hAnsi="Arial" w:cs="Arial"/>
          <w:b/>
          <w:sz w:val="18"/>
          <w:szCs w:val="18"/>
        </w:rPr>
        <w:t xml:space="preserve">Urban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0B5567F"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7C42AEB"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BAF389D"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C1B9E32"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A90E916"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44AD3D3"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5AD0F88"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B39B1FE"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7F6E321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1848DDF"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1543850C" w14:textId="77777777" w:rsidR="005D04F2" w:rsidRPr="007F4FCF" w:rsidRDefault="005D04F2" w:rsidP="00485F74">
      <w:pPr>
        <w:rPr>
          <w:rFonts w:ascii="Arial" w:hAnsi="Arial" w:cs="Arial"/>
          <w:sz w:val="18"/>
          <w:szCs w:val="18"/>
        </w:rPr>
      </w:pPr>
    </w:p>
    <w:p w14:paraId="5A53D973"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w:t>
      </w:r>
      <w:r w:rsidR="00F06302">
        <w:rPr>
          <w:rFonts w:ascii="Arial" w:hAnsi="Arial" w:cs="Arial"/>
          <w:sz w:val="18"/>
          <w:szCs w:val="18"/>
        </w:rPr>
        <w:t>Uni</w:t>
      </w:r>
      <w:r w:rsidRPr="007F4FCF">
        <w:rPr>
          <w:rFonts w:ascii="Arial" w:hAnsi="Arial" w:cs="Arial"/>
          <w:sz w:val="18"/>
          <w:szCs w:val="18"/>
        </w:rPr>
        <w:t xml:space="preserve"> Schmelzdraht für eine nahezu unsichtbare Verbindung der Bahnen. </w:t>
      </w:r>
    </w:p>
    <w:p w14:paraId="5DCA048A"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2A1D1453" w14:textId="77777777" w:rsidR="0029139E" w:rsidRPr="007F4FCF" w:rsidRDefault="0029139E" w:rsidP="00485F74">
      <w:pPr>
        <w:rPr>
          <w:rFonts w:ascii="Arial" w:hAnsi="Arial" w:cs="Arial"/>
          <w:b/>
          <w:sz w:val="18"/>
          <w:szCs w:val="18"/>
        </w:rPr>
      </w:pPr>
    </w:p>
    <w:p w14:paraId="38A18719"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7C8A6D8"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 xml:space="preserve">mit </w:t>
      </w:r>
      <w:r w:rsidRPr="00F06302">
        <w:rPr>
          <w:rFonts w:ascii="Arial" w:hAnsi="Arial" w:cs="Arial"/>
          <w:b/>
          <w:sz w:val="18"/>
          <w:szCs w:val="18"/>
        </w:rPr>
        <w:t>Schmelzdraht</w:t>
      </w:r>
      <w:r w:rsidR="00662A8C" w:rsidRPr="00F06302">
        <w:rPr>
          <w:rFonts w:ascii="Arial" w:hAnsi="Arial" w:cs="Arial"/>
          <w:b/>
          <w:sz w:val="18"/>
          <w:szCs w:val="18"/>
        </w:rPr>
        <w:t xml:space="preserve"> </w:t>
      </w:r>
      <w:r w:rsidR="00F06302" w:rsidRPr="00F06302">
        <w:rPr>
          <w:rFonts w:ascii="Arial" w:hAnsi="Arial" w:cs="Arial"/>
          <w:b/>
          <w:sz w:val="18"/>
          <w:szCs w:val="18"/>
        </w:rPr>
        <w:t>Uni</w:t>
      </w:r>
      <w:r w:rsidRPr="00F06302">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7B5815D"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69309EE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94D071F"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B16E5C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F06302">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87937D7"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D601065"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961ABA3"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730267D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E56F5A8"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291AF165"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0B8B" w14:textId="77777777" w:rsidR="002C7229" w:rsidRDefault="002C7229" w:rsidP="00BE3D9A">
      <w:r>
        <w:separator/>
      </w:r>
    </w:p>
  </w:endnote>
  <w:endnote w:type="continuationSeparator" w:id="0">
    <w:p w14:paraId="6DCADCA8" w14:textId="77777777" w:rsidR="002C7229" w:rsidRDefault="002C7229"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F971" w14:textId="77777777" w:rsidR="00931496" w:rsidRDefault="009314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DF9E"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5A6C8C2F"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114AD479"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7EC5E0EC" w14:textId="77777777" w:rsidR="00BE3D9A" w:rsidRDefault="00BE3D9A" w:rsidP="00BE3D9A">
    <w:pPr>
      <w:rPr>
        <w:rFonts w:ascii="Arial" w:hAnsi="Arial" w:cs="Arial"/>
        <w:b/>
        <w:bCs/>
        <w:color w:val="001740"/>
        <w:sz w:val="18"/>
        <w:szCs w:val="18"/>
      </w:rPr>
    </w:pPr>
  </w:p>
  <w:p w14:paraId="0852BC11" w14:textId="3D265600"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7E7025">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7E7025">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AD3B" w14:textId="77777777" w:rsidR="00931496" w:rsidRDefault="00931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731A" w14:textId="77777777" w:rsidR="002C7229" w:rsidRDefault="002C7229" w:rsidP="00BE3D9A">
      <w:r>
        <w:separator/>
      </w:r>
    </w:p>
  </w:footnote>
  <w:footnote w:type="continuationSeparator" w:id="0">
    <w:p w14:paraId="3A952AC3" w14:textId="77777777" w:rsidR="002C7229" w:rsidRDefault="002C7229"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ADAB" w14:textId="77777777" w:rsidR="00931496" w:rsidRDefault="00931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5F1"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7B176FFF" wp14:editId="4D3087D1">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86F54" w14:textId="77777777" w:rsidR="00BE3D9A" w:rsidRPr="00A60F6A" w:rsidRDefault="008D02E9" w:rsidP="00BE3D9A">
                          <w:r w:rsidRPr="00A60F6A">
                            <w:rPr>
                              <w:noProof/>
                            </w:rPr>
                            <w:drawing>
                              <wp:inline distT="0" distB="0" distL="0" distR="0" wp14:anchorId="1B11EA13" wp14:editId="194D981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76FFF"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1AF86F54" w14:textId="77777777" w:rsidR="00BE3D9A" w:rsidRPr="00A60F6A" w:rsidRDefault="008D02E9" w:rsidP="00BE3D9A">
                    <w:r w:rsidRPr="00A60F6A">
                      <w:rPr>
                        <w:noProof/>
                      </w:rPr>
                      <w:drawing>
                        <wp:inline distT="0" distB="0" distL="0" distR="0" wp14:anchorId="1B11EA13" wp14:editId="194D981F">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066DE476"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40E24867"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9D73245" wp14:editId="2FB056A3">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0581" w14:textId="77777777" w:rsidR="00931496" w:rsidRDefault="009314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60810"/>
    <w:rsid w:val="0007406F"/>
    <w:rsid w:val="00080559"/>
    <w:rsid w:val="00080637"/>
    <w:rsid w:val="000F3782"/>
    <w:rsid w:val="00101DFA"/>
    <w:rsid w:val="00133AEC"/>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C7229"/>
    <w:rsid w:val="002D1145"/>
    <w:rsid w:val="002D21C6"/>
    <w:rsid w:val="002E429F"/>
    <w:rsid w:val="002F2CB8"/>
    <w:rsid w:val="002F5115"/>
    <w:rsid w:val="00321A0F"/>
    <w:rsid w:val="00321FB9"/>
    <w:rsid w:val="00365682"/>
    <w:rsid w:val="00370B7F"/>
    <w:rsid w:val="003909FE"/>
    <w:rsid w:val="00396560"/>
    <w:rsid w:val="003A403B"/>
    <w:rsid w:val="003C26B7"/>
    <w:rsid w:val="003D08C9"/>
    <w:rsid w:val="003D50F4"/>
    <w:rsid w:val="00401054"/>
    <w:rsid w:val="00450746"/>
    <w:rsid w:val="004529E7"/>
    <w:rsid w:val="0046613C"/>
    <w:rsid w:val="00483CEA"/>
    <w:rsid w:val="00485F74"/>
    <w:rsid w:val="004C4446"/>
    <w:rsid w:val="004C65EB"/>
    <w:rsid w:val="004D2572"/>
    <w:rsid w:val="004E4348"/>
    <w:rsid w:val="0050390E"/>
    <w:rsid w:val="005568FD"/>
    <w:rsid w:val="00596B6D"/>
    <w:rsid w:val="005C6C86"/>
    <w:rsid w:val="005D04F2"/>
    <w:rsid w:val="005F7F42"/>
    <w:rsid w:val="006060BF"/>
    <w:rsid w:val="00614B2D"/>
    <w:rsid w:val="00621CD6"/>
    <w:rsid w:val="00641B83"/>
    <w:rsid w:val="0064407D"/>
    <w:rsid w:val="006502BA"/>
    <w:rsid w:val="00650FB4"/>
    <w:rsid w:val="00655D5B"/>
    <w:rsid w:val="00662A8C"/>
    <w:rsid w:val="006655B3"/>
    <w:rsid w:val="00666FF1"/>
    <w:rsid w:val="006751F0"/>
    <w:rsid w:val="006917AE"/>
    <w:rsid w:val="00695472"/>
    <w:rsid w:val="007053D0"/>
    <w:rsid w:val="007109B1"/>
    <w:rsid w:val="007B47DF"/>
    <w:rsid w:val="007C3344"/>
    <w:rsid w:val="007E028D"/>
    <w:rsid w:val="007E244A"/>
    <w:rsid w:val="007E7025"/>
    <w:rsid w:val="007F4FCF"/>
    <w:rsid w:val="00817F64"/>
    <w:rsid w:val="008414D5"/>
    <w:rsid w:val="0085779C"/>
    <w:rsid w:val="0088569D"/>
    <w:rsid w:val="008D02E9"/>
    <w:rsid w:val="008F0B95"/>
    <w:rsid w:val="008F316D"/>
    <w:rsid w:val="00931496"/>
    <w:rsid w:val="00937A45"/>
    <w:rsid w:val="00967145"/>
    <w:rsid w:val="009728D5"/>
    <w:rsid w:val="009B2403"/>
    <w:rsid w:val="009F5AB4"/>
    <w:rsid w:val="00A44E4C"/>
    <w:rsid w:val="00A9660A"/>
    <w:rsid w:val="00AD5003"/>
    <w:rsid w:val="00AF5416"/>
    <w:rsid w:val="00B23850"/>
    <w:rsid w:val="00B35942"/>
    <w:rsid w:val="00B53220"/>
    <w:rsid w:val="00BA791C"/>
    <w:rsid w:val="00BC4C8B"/>
    <w:rsid w:val="00BD3CFE"/>
    <w:rsid w:val="00BE3D9A"/>
    <w:rsid w:val="00C31D6E"/>
    <w:rsid w:val="00C424C5"/>
    <w:rsid w:val="00C6240B"/>
    <w:rsid w:val="00C75240"/>
    <w:rsid w:val="00C953A3"/>
    <w:rsid w:val="00CA78B6"/>
    <w:rsid w:val="00CD6E5D"/>
    <w:rsid w:val="00D0604F"/>
    <w:rsid w:val="00D07E6C"/>
    <w:rsid w:val="00D13814"/>
    <w:rsid w:val="00D37410"/>
    <w:rsid w:val="00D6451F"/>
    <w:rsid w:val="00D82345"/>
    <w:rsid w:val="00D92DA6"/>
    <w:rsid w:val="00DA7F7E"/>
    <w:rsid w:val="00DB2A89"/>
    <w:rsid w:val="00E0034F"/>
    <w:rsid w:val="00E015BC"/>
    <w:rsid w:val="00E47957"/>
    <w:rsid w:val="00E64E04"/>
    <w:rsid w:val="00E77991"/>
    <w:rsid w:val="00E90FB4"/>
    <w:rsid w:val="00E96AD9"/>
    <w:rsid w:val="00EF4A66"/>
    <w:rsid w:val="00F06302"/>
    <w:rsid w:val="00F16A3D"/>
    <w:rsid w:val="00F66BE1"/>
    <w:rsid w:val="00F71AEA"/>
    <w:rsid w:val="00F876AC"/>
    <w:rsid w:val="00F96D1F"/>
    <w:rsid w:val="00F97C86"/>
    <w:rsid w:val="00FB1AD2"/>
    <w:rsid w:val="00FD2A64"/>
    <w:rsid w:val="00FE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F7B9D3"/>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191797975">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4072</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2021-06-07T14:12:00Z</dcterms:created>
  <dcterms:modified xsi:type="dcterms:W3CDTF">2022-04-12T09:37:00Z</dcterms:modified>
</cp:coreProperties>
</file>